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D8A98" w14:textId="29471546" w:rsidR="00A46037" w:rsidRDefault="00A46037" w:rsidP="006E4108">
      <w:pPr>
        <w:spacing w:line="276" w:lineRule="auto"/>
        <w:rPr>
          <w:rFonts w:eastAsia="Calibri"/>
          <w:b/>
          <w:sz w:val="28"/>
          <w:szCs w:val="28"/>
        </w:rPr>
      </w:pPr>
      <w:bookmarkStart w:id="0" w:name="_Hlk100135436"/>
      <w:r w:rsidRPr="00C40429">
        <w:rPr>
          <w:rFonts w:eastAsia="Calibri"/>
          <w:b/>
          <w:sz w:val="28"/>
          <w:szCs w:val="28"/>
        </w:rPr>
        <w:t xml:space="preserve">Priloga </w:t>
      </w:r>
      <w:r>
        <w:rPr>
          <w:rFonts w:eastAsia="Calibri"/>
          <w:b/>
          <w:sz w:val="28"/>
          <w:szCs w:val="28"/>
        </w:rPr>
        <w:t>1</w:t>
      </w:r>
      <w:r w:rsidRPr="00C40429">
        <w:rPr>
          <w:rFonts w:eastAsia="Calibri"/>
          <w:b/>
          <w:sz w:val="28"/>
          <w:szCs w:val="28"/>
        </w:rPr>
        <w:t>:</w:t>
      </w:r>
      <w:r w:rsidRPr="00E1170A">
        <w:rPr>
          <w:rFonts w:eastAsia="Calibri"/>
          <w:b/>
          <w:sz w:val="28"/>
          <w:szCs w:val="28"/>
        </w:rPr>
        <w:t xml:space="preserve"> Izsek priloge Izvedbenega sklepa, ki se nanaša na ukrep digitalizacija pravosodja, s katerim je bilo izvedeno preverjanje izpolnjevanja načela DNSH</w:t>
      </w:r>
    </w:p>
    <w:p w14:paraId="215791DF" w14:textId="77777777" w:rsidR="00A912C6" w:rsidRDefault="00A912C6" w:rsidP="00B3377B">
      <w:pPr>
        <w:spacing w:line="276" w:lineRule="auto"/>
        <w:rPr>
          <w:rFonts w:ascii="Arial" w:hAnsi="Arial"/>
          <w:sz w:val="20"/>
          <w:szCs w:val="20"/>
        </w:rPr>
      </w:pPr>
    </w:p>
    <w:tbl>
      <w:tblPr>
        <w:tblW w:w="5000" w:type="pct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1"/>
        <w:gridCol w:w="473"/>
        <w:gridCol w:w="473"/>
        <w:gridCol w:w="5085"/>
      </w:tblGrid>
      <w:tr w:rsidR="00B3377B" w:rsidRPr="009340ED" w14:paraId="7C6BEB6E" w14:textId="77777777" w:rsidTr="009E53E2"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1298C5" w14:textId="77777777" w:rsidR="00B3377B" w:rsidRPr="009340ED" w:rsidRDefault="00B3377B" w:rsidP="009E53E2">
            <w:pPr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</w:rPr>
            </w:pPr>
            <w:r w:rsidRPr="009340ED"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</w:rPr>
              <w:t xml:space="preserve">Investicija: Digitalizacija pravosodja </w:t>
            </w:r>
          </w:p>
          <w:p w14:paraId="1A5A9870" w14:textId="77777777" w:rsidR="00B3377B" w:rsidRDefault="00B3377B" w:rsidP="009E53E2">
            <w:pPr>
              <w:rPr>
                <w:rFonts w:ascii="Arial" w:eastAsia="Calibri" w:hAnsi="Arial"/>
                <w:sz w:val="20"/>
                <w:szCs w:val="20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 xml:space="preserve">Gre za ukrep, ki po svoji naravi nima predvidljivega vpliva na nobenega izmed šestih </w:t>
            </w:r>
            <w:proofErr w:type="spellStart"/>
            <w:r w:rsidRPr="009340ED">
              <w:rPr>
                <w:rFonts w:ascii="Arial" w:eastAsia="Calibri" w:hAnsi="Arial"/>
                <w:sz w:val="20"/>
                <w:szCs w:val="20"/>
              </w:rPr>
              <w:t>okoljskih</w:t>
            </w:r>
            <w:proofErr w:type="spellEnd"/>
            <w:r w:rsidRPr="009340ED">
              <w:rPr>
                <w:rFonts w:ascii="Arial" w:eastAsia="Calibri" w:hAnsi="Arial"/>
                <w:sz w:val="20"/>
                <w:szCs w:val="20"/>
              </w:rPr>
              <w:t xml:space="preserve"> ciljev, ki bi bil povezan z neposrednimi in primarnimi posrednimi učinki ukrepa v življenjskem ciklu, oz</w:t>
            </w:r>
            <w:r>
              <w:rPr>
                <w:rFonts w:ascii="Arial" w:eastAsia="Calibri" w:hAnsi="Arial"/>
                <w:sz w:val="20"/>
                <w:szCs w:val="20"/>
              </w:rPr>
              <w:t>iroma</w:t>
            </w:r>
            <w:r w:rsidRPr="009340ED">
              <w:rPr>
                <w:rFonts w:ascii="Arial" w:eastAsia="Calibri" w:hAnsi="Arial"/>
                <w:sz w:val="20"/>
                <w:szCs w:val="20"/>
              </w:rPr>
              <w:t xml:space="preserve"> je ta vpliv nepomemben, zato za vse cilje podajamo zgolj kratko utemeljitev v zvezi s skladnostjo z načelom, da se ne škoduje bistveno.</w:t>
            </w:r>
          </w:p>
          <w:p w14:paraId="227BA4BF" w14:textId="7EFBBBA5" w:rsidR="006E72F9" w:rsidRPr="009340ED" w:rsidRDefault="006E72F9" w:rsidP="009E53E2">
            <w:pPr>
              <w:rPr>
                <w:rFonts w:ascii="Arial" w:eastAsia="Calibri" w:hAnsi="Arial"/>
                <w:i/>
                <w:iCs/>
                <w:sz w:val="20"/>
                <w:szCs w:val="20"/>
              </w:rPr>
            </w:pPr>
          </w:p>
        </w:tc>
      </w:tr>
      <w:tr w:rsidR="00B3377B" w:rsidRPr="009340ED" w14:paraId="15AB3D2D" w14:textId="77777777" w:rsidTr="00A46037">
        <w:trPr>
          <w:trHeight w:val="1080"/>
        </w:trPr>
        <w:tc>
          <w:tcPr>
            <w:tcW w:w="16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3D611" w14:textId="77777777" w:rsidR="00B3377B" w:rsidRPr="009340ED" w:rsidRDefault="00B3377B" w:rsidP="009E53E2">
            <w:pPr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</w:rPr>
            </w:pPr>
            <w:r w:rsidRPr="009340ED"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</w:rPr>
              <w:t>Ali je potrebna vsebinska ocena skladnosti ukrepa z načelom, da se ne škoduje bistveno?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834CD" w14:textId="77777777" w:rsidR="00B3377B" w:rsidRPr="009340ED" w:rsidRDefault="00B3377B" w:rsidP="009E53E2">
            <w:pPr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</w:rPr>
              <w:t>Da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E6227" w14:textId="77777777" w:rsidR="00B3377B" w:rsidRPr="009340ED" w:rsidRDefault="00B3377B" w:rsidP="009E53E2">
            <w:pPr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</w:rPr>
              <w:t>Ne</w:t>
            </w:r>
          </w:p>
        </w:tc>
        <w:tc>
          <w:tcPr>
            <w:tcW w:w="2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86F86" w14:textId="77777777" w:rsidR="00B3377B" w:rsidRPr="009340ED" w:rsidRDefault="00B3377B" w:rsidP="009E53E2">
            <w:pPr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  <w:lang w:val="it-IT"/>
              </w:rPr>
            </w:pPr>
            <w:r w:rsidRPr="009340ED">
              <w:rPr>
                <w:rFonts w:ascii="Arial" w:eastAsia="Calibri" w:hAnsi="Arial"/>
                <w:b/>
                <w:bCs/>
                <w:i/>
                <w:iCs/>
                <w:sz w:val="20"/>
                <w:szCs w:val="20"/>
              </w:rPr>
              <w:t>Utemeljitev, če ste izbrali odgovor »Ne«.</w:t>
            </w:r>
          </w:p>
        </w:tc>
      </w:tr>
      <w:tr w:rsidR="00B3377B" w:rsidRPr="009340ED" w14:paraId="17402090" w14:textId="77777777" w:rsidTr="00A46037">
        <w:tc>
          <w:tcPr>
            <w:tcW w:w="16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6A47D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color w:val="000000"/>
                <w:sz w:val="20"/>
                <w:szCs w:val="20"/>
                <w:shd w:val="clear" w:color="auto" w:fill="FFFFFF"/>
              </w:rPr>
              <w:t>Blažitev podnebnih sprememb</w:t>
            </w:r>
            <w:r w:rsidRPr="009340ED">
              <w:rPr>
                <w:rFonts w:ascii="Arial" w:eastAsia="Calibri" w:hAnsi="Arial"/>
                <w:color w:val="000000"/>
                <w:sz w:val="20"/>
                <w:szCs w:val="20"/>
                <w:shd w:val="clear" w:color="auto" w:fill="FFFFFF"/>
                <w:lang w:val="en-IE"/>
              </w:rPr>
              <w:t xml:space="preserve"> (Climate change mitigation)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131A4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A3F71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>X</w:t>
            </w:r>
          </w:p>
        </w:tc>
        <w:tc>
          <w:tcPr>
            <w:tcW w:w="2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083E1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 xml:space="preserve">Ukrep zaradi svoje narave nima predvidljivega vpliva na </w:t>
            </w:r>
            <w:proofErr w:type="spellStart"/>
            <w:r w:rsidRPr="009340ED">
              <w:rPr>
                <w:rFonts w:ascii="Arial" w:eastAsia="Calibri" w:hAnsi="Arial"/>
                <w:sz w:val="20"/>
                <w:szCs w:val="20"/>
              </w:rPr>
              <w:t>okoljski</w:t>
            </w:r>
            <w:proofErr w:type="spellEnd"/>
            <w:r w:rsidRPr="009340ED">
              <w:rPr>
                <w:rFonts w:ascii="Arial" w:eastAsia="Calibri" w:hAnsi="Arial"/>
                <w:sz w:val="20"/>
                <w:szCs w:val="20"/>
              </w:rPr>
              <w:t xml:space="preserve"> cilj, ki bi bil povezan z neposrednimi in primarnimi posrednimi učinki ukrepa v njegovem življenjskem ciklu, ali pa je ta vpliv nepomemben ter se zato v zvezi z zadevnim ciljem šteje za skladnega z načelom, da se ne škoduje bistveno; Večje emisije toplogrednih plinov niso pričakovane.</w:t>
            </w:r>
          </w:p>
        </w:tc>
      </w:tr>
      <w:tr w:rsidR="00B3377B" w:rsidRPr="009340ED" w14:paraId="67683F07" w14:textId="77777777" w:rsidTr="00A46037">
        <w:tc>
          <w:tcPr>
            <w:tcW w:w="16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DF547" w14:textId="77777777" w:rsidR="00B3377B" w:rsidRPr="009340ED" w:rsidRDefault="00B3377B" w:rsidP="009E53E2">
            <w:pPr>
              <w:rPr>
                <w:rFonts w:ascii="Arial" w:eastAsia="Calibri" w:hAnsi="Arial"/>
                <w:i/>
                <w:iCs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>Prilagajanje podnebnim spremembam</w:t>
            </w: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 xml:space="preserve"> (Climate change adaptation)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76AC8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820CB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>X</w:t>
            </w:r>
          </w:p>
        </w:tc>
        <w:tc>
          <w:tcPr>
            <w:tcW w:w="2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EF70B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 xml:space="preserve">Ukrep zaradi svoje narave nima predvidljivega vpliva na </w:t>
            </w:r>
            <w:proofErr w:type="spellStart"/>
            <w:r w:rsidRPr="009340ED">
              <w:rPr>
                <w:rFonts w:ascii="Arial" w:eastAsia="Calibri" w:hAnsi="Arial"/>
                <w:sz w:val="20"/>
                <w:szCs w:val="20"/>
              </w:rPr>
              <w:t>okoljski</w:t>
            </w:r>
            <w:proofErr w:type="spellEnd"/>
            <w:r w:rsidRPr="009340ED">
              <w:rPr>
                <w:rFonts w:ascii="Arial" w:eastAsia="Calibri" w:hAnsi="Arial"/>
                <w:sz w:val="20"/>
                <w:szCs w:val="20"/>
              </w:rPr>
              <w:t xml:space="preserve"> cilj, ki bi bil povezan z neposrednimi in primarnimi posrednimi učinki ukrepa v njegovem življenjskem ciklu, ali pa je ta vpliv nepomemben ter se zato v zvezi z zadevnim ciljem šteje za skladnega z načelom, da se ne škoduje bistveno; Večje emisije toplogrednih plinov zaradi izvedbe projektov niso pričakovane.</w:t>
            </w:r>
          </w:p>
        </w:tc>
      </w:tr>
      <w:tr w:rsidR="00B3377B" w:rsidRPr="009340ED" w14:paraId="4DE237E2" w14:textId="77777777" w:rsidTr="00A46037">
        <w:tc>
          <w:tcPr>
            <w:tcW w:w="16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6EE2C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>Trajnostna raba ter varstvo vodnih in morskih virov</w:t>
            </w: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 xml:space="preserve"> (The sustainable use and protection for water and marine resources)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BE6C7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11D23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>X</w:t>
            </w:r>
          </w:p>
        </w:tc>
        <w:tc>
          <w:tcPr>
            <w:tcW w:w="2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78E13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 xml:space="preserve">Ukrep zaradi svoje narave nima predvidljivega vpliva na </w:t>
            </w:r>
            <w:proofErr w:type="spellStart"/>
            <w:r w:rsidRPr="009340ED">
              <w:rPr>
                <w:rFonts w:ascii="Arial" w:eastAsia="Calibri" w:hAnsi="Arial"/>
                <w:sz w:val="20"/>
                <w:szCs w:val="20"/>
              </w:rPr>
              <w:t>okoljski</w:t>
            </w:r>
            <w:proofErr w:type="spellEnd"/>
            <w:r w:rsidRPr="009340ED">
              <w:rPr>
                <w:rFonts w:ascii="Arial" w:eastAsia="Calibri" w:hAnsi="Arial"/>
                <w:sz w:val="20"/>
                <w:szCs w:val="20"/>
              </w:rPr>
              <w:t xml:space="preserve"> cilj, ki bi bil povezan z neposrednimi in primarnimi posrednimi učinki ukrepa v njegovem življenjskem ciklu, ali pa je ta vpliv nepomemben ter se zato v zvezi z zadevnim ciljem šteje za skladnega z načelom, da se ne škoduje bistveno; Ugotovljeno ni nobeno tveganje degradacije okolja, povezano z ohranjanjem kakovosti vode in vodnim stresom, saj se vsebine projektov ne </w:t>
            </w:r>
            <w:proofErr w:type="spellStart"/>
            <w:r w:rsidRPr="009340ED">
              <w:rPr>
                <w:rFonts w:ascii="Arial" w:eastAsia="Calibri" w:hAnsi="Arial"/>
                <w:sz w:val="20"/>
                <w:szCs w:val="20"/>
              </w:rPr>
              <w:t>nenašajo</w:t>
            </w:r>
            <w:proofErr w:type="spellEnd"/>
            <w:r w:rsidRPr="009340ED">
              <w:rPr>
                <w:rFonts w:ascii="Arial" w:eastAsia="Calibri" w:hAnsi="Arial"/>
                <w:sz w:val="20"/>
                <w:szCs w:val="20"/>
              </w:rPr>
              <w:t xml:space="preserve"> na nameščanje vodovodne napeljave ali naprave, ki porabljajo vodo.</w:t>
            </w:r>
          </w:p>
        </w:tc>
      </w:tr>
      <w:tr w:rsidR="00B3377B" w:rsidRPr="009340ED" w14:paraId="328806F4" w14:textId="77777777" w:rsidTr="00A46037">
        <w:tc>
          <w:tcPr>
            <w:tcW w:w="16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6AFCA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>Prehod na krožno gospodarstvo</w:t>
            </w: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 xml:space="preserve"> (The circular economy, including waste prevention and recycling)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DEA8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499B1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>X</w:t>
            </w:r>
          </w:p>
        </w:tc>
        <w:tc>
          <w:tcPr>
            <w:tcW w:w="2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8D9CB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 xml:space="preserve">"Ukrep zaradi svoje narave nima predvidljivega vpliva na </w:t>
            </w:r>
            <w:proofErr w:type="spellStart"/>
            <w:r w:rsidRPr="009340ED">
              <w:rPr>
                <w:rFonts w:ascii="Arial" w:eastAsia="Calibri" w:hAnsi="Arial"/>
                <w:sz w:val="20"/>
                <w:szCs w:val="20"/>
              </w:rPr>
              <w:t>okoljski</w:t>
            </w:r>
            <w:proofErr w:type="spellEnd"/>
            <w:r w:rsidRPr="009340ED">
              <w:rPr>
                <w:rFonts w:ascii="Arial" w:eastAsia="Calibri" w:hAnsi="Arial"/>
                <w:sz w:val="20"/>
                <w:szCs w:val="20"/>
              </w:rPr>
              <w:t xml:space="preserve"> cilj, ki bi bil povezan z neposrednimi in primarnimi posrednimi učinki ukrepa v njegovem življenjskem ciklu, ali pa je ta vpliv nepomemben ter se zato v zvezi z zadevnim ciljem šteje za skladnega z načelom, da se ne škoduje bistveno;  Aktivnosti v pravosodju temeljijo na uvajanju digitalnih sprememb, ki potrebujejo manj naravnih virov. </w:t>
            </w:r>
          </w:p>
        </w:tc>
      </w:tr>
      <w:tr w:rsidR="00B3377B" w:rsidRPr="009340ED" w14:paraId="282E4063" w14:textId="77777777" w:rsidTr="00A46037">
        <w:tc>
          <w:tcPr>
            <w:tcW w:w="16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FA00D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>Preprečevanje in nadzorovanje onesnaževanja</w:t>
            </w: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 xml:space="preserve"> (Pollution prevention and control to air, water or land)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BCB4B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2DB68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>X</w:t>
            </w:r>
          </w:p>
        </w:tc>
        <w:tc>
          <w:tcPr>
            <w:tcW w:w="2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7F27C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 xml:space="preserve">Vsi nakupi opreme informacijskih tehnologij že sedaj potekajo v duhu zelenih naročil. (Nove </w:t>
            </w:r>
            <w:proofErr w:type="spellStart"/>
            <w:r w:rsidRPr="009340ED">
              <w:rPr>
                <w:rFonts w:ascii="Arial" w:eastAsia="Calibri" w:hAnsi="Arial"/>
                <w:sz w:val="20"/>
                <w:szCs w:val="20"/>
              </w:rPr>
              <w:t>informatizacijske</w:t>
            </w:r>
            <w:proofErr w:type="spellEnd"/>
            <w:r w:rsidRPr="009340ED">
              <w:rPr>
                <w:rFonts w:ascii="Arial" w:eastAsia="Calibri" w:hAnsi="Arial"/>
                <w:sz w:val="20"/>
                <w:szCs w:val="20"/>
              </w:rPr>
              <w:t xml:space="preserve"> rešitve, ki zagotavljajo ustrezno informatizirane sodne postopke in dostopnost vseh pisanj in odločitev v e-obliki predstavljajo tudi izboljšanje poslovnega okolja, saj se jim s tem znižajo administrativni stroški kot tudi administrativna bremena v teh postopkih). "</w:t>
            </w:r>
          </w:p>
        </w:tc>
      </w:tr>
      <w:tr w:rsidR="00B3377B" w:rsidRPr="009340ED" w14:paraId="2C385CA0" w14:textId="77777777" w:rsidTr="00A46037">
        <w:tc>
          <w:tcPr>
            <w:tcW w:w="16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8D86E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>Varstvo in ohranjanje biotske raznovrstnosti in ekosistemov</w:t>
            </w: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 xml:space="preserve"> </w:t>
            </w: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lastRenderedPageBreak/>
              <w:t>(The protection and restoration of biodiversity and ecosystems)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ABDB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4DDBC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  <w:lang w:val="en-IE"/>
              </w:rPr>
            </w:pPr>
            <w:r w:rsidRPr="009340ED">
              <w:rPr>
                <w:rFonts w:ascii="Arial" w:eastAsia="Calibri" w:hAnsi="Arial"/>
                <w:sz w:val="20"/>
                <w:szCs w:val="20"/>
                <w:lang w:val="en-IE"/>
              </w:rPr>
              <w:t>X</w:t>
            </w:r>
          </w:p>
        </w:tc>
        <w:tc>
          <w:tcPr>
            <w:tcW w:w="2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B1B6F" w14:textId="77777777" w:rsidR="00B3377B" w:rsidRPr="009340ED" w:rsidRDefault="00B3377B" w:rsidP="009E53E2">
            <w:pPr>
              <w:rPr>
                <w:rFonts w:ascii="Arial" w:eastAsia="Calibri" w:hAnsi="Arial"/>
                <w:sz w:val="20"/>
                <w:szCs w:val="20"/>
              </w:rPr>
            </w:pPr>
            <w:r w:rsidRPr="009340ED">
              <w:rPr>
                <w:rFonts w:ascii="Arial" w:eastAsia="Calibri" w:hAnsi="Arial"/>
                <w:sz w:val="20"/>
                <w:szCs w:val="20"/>
              </w:rPr>
              <w:t xml:space="preserve">Ukrep zaradi svoje narave nima predvidljivega vpliva na </w:t>
            </w:r>
            <w:proofErr w:type="spellStart"/>
            <w:r w:rsidRPr="009340ED">
              <w:rPr>
                <w:rFonts w:ascii="Arial" w:eastAsia="Calibri" w:hAnsi="Arial"/>
                <w:sz w:val="20"/>
                <w:szCs w:val="20"/>
              </w:rPr>
              <w:t>okoljski</w:t>
            </w:r>
            <w:proofErr w:type="spellEnd"/>
            <w:r w:rsidRPr="009340ED">
              <w:rPr>
                <w:rFonts w:ascii="Arial" w:eastAsia="Calibri" w:hAnsi="Arial"/>
                <w:sz w:val="20"/>
                <w:szCs w:val="20"/>
              </w:rPr>
              <w:t xml:space="preserve"> cilj, ki bi bil povezan z neposrednimi in primarnimi posrednimi učinki ukrepa v njegovem </w:t>
            </w:r>
            <w:r w:rsidRPr="009340ED">
              <w:rPr>
                <w:rFonts w:ascii="Arial" w:eastAsia="Calibri" w:hAnsi="Arial"/>
                <w:sz w:val="20"/>
                <w:szCs w:val="20"/>
              </w:rPr>
              <w:lastRenderedPageBreak/>
              <w:t>življenjskem ciklu, ali pa je ta vpliv nepomemben ter se zato v zvezi z zadevnim ciljem šteje za skladnega z načelom, da se ne škoduje bistveno; Aktivnosti investicije ne bodo povzročile povečanja emisij in onesnaženje zraka, vode ali zemlje.</w:t>
            </w:r>
          </w:p>
        </w:tc>
      </w:tr>
      <w:bookmarkEnd w:id="0"/>
    </w:tbl>
    <w:p w14:paraId="344F9FC1" w14:textId="77777777" w:rsidR="00B3377B" w:rsidRDefault="00B3377B"/>
    <w:sectPr w:rsidR="00B337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6304F" w14:textId="77777777" w:rsidR="00A46037" w:rsidRDefault="00A46037" w:rsidP="00A46037">
      <w:r>
        <w:separator/>
      </w:r>
    </w:p>
  </w:endnote>
  <w:endnote w:type="continuationSeparator" w:id="0">
    <w:p w14:paraId="3273E4B2" w14:textId="77777777" w:rsidR="00A46037" w:rsidRDefault="00A46037" w:rsidP="00A4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AAD9F" w14:textId="77777777" w:rsidR="006E72F9" w:rsidRDefault="006E72F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3A6B" w14:textId="77777777" w:rsidR="006E72F9" w:rsidRDefault="006E72F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E41A4" w14:textId="77777777" w:rsidR="006E72F9" w:rsidRDefault="006E72F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87E87" w14:textId="77777777" w:rsidR="00A46037" w:rsidRDefault="00A46037" w:rsidP="00A46037">
      <w:r>
        <w:separator/>
      </w:r>
    </w:p>
  </w:footnote>
  <w:footnote w:type="continuationSeparator" w:id="0">
    <w:p w14:paraId="1CFFEB0F" w14:textId="77777777" w:rsidR="00A46037" w:rsidRDefault="00A46037" w:rsidP="00A46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86E4E" w14:textId="77777777" w:rsidR="006E72F9" w:rsidRDefault="006E72F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08248" w14:textId="6DD11FB9" w:rsidR="00A46037" w:rsidRDefault="00F11F33">
    <w:pPr>
      <w:pStyle w:val="Glava"/>
    </w:pPr>
    <w:r w:rsidRPr="00603CBD">
      <w:rPr>
        <w:rFonts w:ascii="Arial" w:hAnsi="Arial"/>
        <w:noProof/>
        <w:sz w:val="20"/>
        <w:szCs w:val="20"/>
        <w:lang w:eastAsia="sl-SI"/>
      </w:rPr>
      <w:drawing>
        <wp:anchor distT="0" distB="0" distL="114300" distR="114300" simplePos="0" relativeHeight="251661312" behindDoc="0" locked="0" layoutInCell="1" allowOverlap="1" wp14:anchorId="72F52E0A" wp14:editId="4982AA00">
          <wp:simplePos x="0" y="0"/>
          <wp:positionH relativeFrom="page">
            <wp:align>left</wp:align>
          </wp:positionH>
          <wp:positionV relativeFrom="page">
            <wp:posOffset>20320</wp:posOffset>
          </wp:positionV>
          <wp:extent cx="2943225" cy="923925"/>
          <wp:effectExtent l="0" t="0" r="9525" b="9525"/>
          <wp:wrapSquare wrapText="bothSides"/>
          <wp:docPr id="18" name="Slika 19" descr="0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9" descr="065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31897" b="4964"/>
                  <a:stretch/>
                </pic:blipFill>
                <pic:spPr bwMode="auto">
                  <a:xfrm>
                    <a:off x="0" y="0"/>
                    <a:ext cx="29432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100131069"/>
    <w:bookmarkEnd w:id="1"/>
  </w:p>
  <w:p w14:paraId="2D687170" w14:textId="2C335CFA" w:rsidR="00A46037" w:rsidRDefault="00FE6AEC">
    <w:pPr>
      <w:pStyle w:val="Glava"/>
    </w:pPr>
    <w:r w:rsidRPr="00FE6AEC">
      <w:drawing>
        <wp:anchor distT="0" distB="0" distL="114300" distR="114300" simplePos="0" relativeHeight="251664384" behindDoc="1" locked="0" layoutInCell="1" allowOverlap="1" wp14:anchorId="169977D1" wp14:editId="0B7EDE4B">
          <wp:simplePos x="0" y="0"/>
          <wp:positionH relativeFrom="column">
            <wp:posOffset>4335780</wp:posOffset>
          </wp:positionH>
          <wp:positionV relativeFrom="paragraph">
            <wp:posOffset>3810</wp:posOffset>
          </wp:positionV>
          <wp:extent cx="1246505" cy="372110"/>
          <wp:effectExtent l="0" t="0" r="0" b="8890"/>
          <wp:wrapSquare wrapText="bothSides"/>
          <wp:docPr id="15" name="Slika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650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E6AEC">
      <w:drawing>
        <wp:anchor distT="0" distB="0" distL="114300" distR="114300" simplePos="0" relativeHeight="251663360" behindDoc="1" locked="0" layoutInCell="1" allowOverlap="1" wp14:anchorId="00083011" wp14:editId="0D26D8CB">
          <wp:simplePos x="0" y="0"/>
          <wp:positionH relativeFrom="column">
            <wp:posOffset>2609215</wp:posOffset>
          </wp:positionH>
          <wp:positionV relativeFrom="paragraph">
            <wp:posOffset>22860</wp:posOffset>
          </wp:positionV>
          <wp:extent cx="1502410" cy="289560"/>
          <wp:effectExtent l="0" t="0" r="2540" b="0"/>
          <wp:wrapSquare wrapText="bothSides"/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AE93C8" w14:textId="749E6C42" w:rsidR="00A46037" w:rsidRDefault="00A46037">
    <w:pPr>
      <w:pStyle w:val="Glava"/>
    </w:pPr>
  </w:p>
  <w:p w14:paraId="30F0543B" w14:textId="77777777" w:rsidR="00A46037" w:rsidRDefault="00A4603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72FC8" w14:textId="77777777" w:rsidR="006E72F9" w:rsidRDefault="006E72F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7B"/>
    <w:rsid w:val="006E4108"/>
    <w:rsid w:val="006E72F9"/>
    <w:rsid w:val="00A46037"/>
    <w:rsid w:val="00A912C6"/>
    <w:rsid w:val="00B3377B"/>
    <w:rsid w:val="00DE15F7"/>
    <w:rsid w:val="00F11F3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D3A0"/>
  <w15:chartTrackingRefBased/>
  <w15:docId w15:val="{6AF6D072-EC1A-49D7-B5B8-4C2446BF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377B"/>
    <w:pPr>
      <w:spacing w:after="0" w:line="240" w:lineRule="auto"/>
      <w:jc w:val="both"/>
    </w:pPr>
    <w:rPr>
      <w:rFonts w:ascii="Calibri" w:eastAsia="Times New Roman" w:hAnsi="Calibri" w:cs="Arial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460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46037"/>
    <w:rPr>
      <w:rFonts w:ascii="Calibri" w:eastAsia="Times New Roman" w:hAnsi="Calibri" w:cs="Arial"/>
      <w:sz w:val="24"/>
    </w:rPr>
  </w:style>
  <w:style w:type="paragraph" w:styleId="Noga">
    <w:name w:val="footer"/>
    <w:basedOn w:val="Navaden"/>
    <w:link w:val="NogaZnak"/>
    <w:uiPriority w:val="99"/>
    <w:unhideWhenUsed/>
    <w:rsid w:val="00A460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46037"/>
    <w:rPr>
      <w:rFonts w:ascii="Calibri" w:eastAsia="Times New Roman" w:hAnsi="Calibri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CD523C3-1E02-4E16-9EF2-D4B89661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Zadnik</dc:creator>
  <cp:keywords/>
  <dc:description/>
  <cp:lastModifiedBy>Iris Motnik Šernek</cp:lastModifiedBy>
  <cp:revision>7</cp:revision>
  <dcterms:created xsi:type="dcterms:W3CDTF">2022-03-25T09:28:00Z</dcterms:created>
  <dcterms:modified xsi:type="dcterms:W3CDTF">2023-02-28T13:13:00Z</dcterms:modified>
</cp:coreProperties>
</file>